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Look w:val="0000"/>
      </w:tblPr>
      <w:tblGrid>
        <w:gridCol w:w="9413"/>
      </w:tblGrid>
      <w:tr w:rsidR="006D3468" w:rsidTr="00A05652">
        <w:trPr>
          <w:tblCellSpacing w:w="7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3468" w:rsidRDefault="006D3468" w:rsidP="00A05652">
            <w:pPr>
              <w:pStyle w:val="4"/>
              <w:jc w:val="center"/>
            </w:pPr>
            <w:r>
              <w:t>РГООУ «</w:t>
            </w:r>
            <w:proofErr w:type="spellStart"/>
            <w:r>
              <w:t>Боградская</w:t>
            </w:r>
            <w:proofErr w:type="spellEnd"/>
            <w:r>
              <w:t xml:space="preserve"> санаторная школа-интернат»</w:t>
            </w:r>
          </w:p>
          <w:tbl>
            <w:tblPr>
              <w:tblW w:w="5000" w:type="pct"/>
              <w:tblCellSpacing w:w="7" w:type="dxa"/>
              <w:tblLook w:val="0000"/>
            </w:tblPr>
            <w:tblGrid>
              <w:gridCol w:w="5516"/>
              <w:gridCol w:w="3839"/>
            </w:tblGrid>
            <w:tr w:rsidR="006D3468" w:rsidTr="00A05652">
              <w:trPr>
                <w:tblCellSpacing w:w="7" w:type="dxa"/>
              </w:trPr>
              <w:tc>
                <w:tcPr>
                  <w:tcW w:w="293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D3468" w:rsidRDefault="006D3468" w:rsidP="00A05652">
                  <w:pPr>
                    <w:pStyle w:val="a3"/>
                  </w:pPr>
                  <w:r>
                    <w:t xml:space="preserve">Методические рекомендации </w:t>
                  </w:r>
                </w:p>
              </w:tc>
              <w:tc>
                <w:tcPr>
                  <w:tcW w:w="204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D3468" w:rsidRDefault="006D3468" w:rsidP="00A05652">
                  <w:r>
                    <w:t xml:space="preserve"> От  17.09.2008</w:t>
                  </w:r>
                </w:p>
              </w:tc>
            </w:tr>
          </w:tbl>
          <w:p w:rsidR="006D3468" w:rsidRDefault="006D3468" w:rsidP="00A05652">
            <w:pPr>
              <w:pStyle w:val="a3"/>
            </w:pPr>
            <w:r>
              <w:t> </w:t>
            </w:r>
          </w:p>
          <w:p w:rsidR="006D3468" w:rsidRDefault="006D3468" w:rsidP="00A05652">
            <w:pPr>
              <w:pStyle w:val="a3"/>
            </w:pPr>
            <w:r>
              <w:t>«О лицензионном программном обеспечении»</w:t>
            </w:r>
          </w:p>
          <w:p w:rsidR="006D3468" w:rsidRDefault="006D3468" w:rsidP="00A05652">
            <w:pPr>
              <w:pStyle w:val="a3"/>
              <w:jc w:val="center"/>
            </w:pPr>
            <w:r>
              <w:t>Уважаемые коллеги!</w:t>
            </w:r>
          </w:p>
          <w:p w:rsidR="006D3468" w:rsidRDefault="006D3468" w:rsidP="00A05652">
            <w:pPr>
              <w:pStyle w:val="a3"/>
            </w:pPr>
            <w:r>
              <w:t>Обращаем Ваше внимание, что проблема соблюдения и укрепления законодательства в сфере интеллектуальной собственности становится предметом серьезного обсуждения, как органов государственной власти различного уровня, так и соответствующих властных структур в регионах.</w:t>
            </w:r>
          </w:p>
          <w:p w:rsidR="006D3468" w:rsidRDefault="006D3468" w:rsidP="00A05652">
            <w:pPr>
              <w:pStyle w:val="a3"/>
            </w:pPr>
            <w:r>
              <w:t xml:space="preserve">По информации внутренних органов  возбуждаются  уголовные дела по ст. 146 УК РФ за нарушение авторских и смежных прав. При этом </w:t>
            </w:r>
            <w:r>
              <w:rPr>
                <w:rStyle w:val="a4"/>
              </w:rPr>
              <w:t xml:space="preserve">к </w:t>
            </w:r>
            <w:r>
              <w:t xml:space="preserve">уголовной ответственности привлекаются не только торговцы контрафактной продукцией, но и непосредственные пользователи (покупатели). Напоминаем, что согласно принятым нормам уголовного кодекса </w:t>
            </w:r>
            <w:r>
              <w:rPr>
                <w:rStyle w:val="a4"/>
              </w:rPr>
              <w:t xml:space="preserve">РФ </w:t>
            </w:r>
            <w:r>
              <w:t>уголовная ответственность за нарушение авторских и смежных прав предусмотрена в виде 6 лет лишения свободы.</w:t>
            </w:r>
          </w:p>
          <w:p w:rsidR="006D3468" w:rsidRDefault="006D3468" w:rsidP="00A05652">
            <w:pPr>
              <w:pStyle w:val="a3"/>
            </w:pPr>
            <w:r>
              <w:t>Учитывая вышеизложенное, рекомендуем:</w:t>
            </w:r>
          </w:p>
          <w:p w:rsidR="006D3468" w:rsidRDefault="006D3468" w:rsidP="006D34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 xml:space="preserve">прекратить использование нелицензионного программного обеспечения; </w:t>
            </w:r>
          </w:p>
          <w:p w:rsidR="006D3468" w:rsidRDefault="006D3468" w:rsidP="006D34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до приобретения лицензионного программного обеспечения использовать</w:t>
            </w:r>
            <w:r>
              <w:br/>
              <w:t xml:space="preserve">свободно распространяемое программное обеспечение; </w:t>
            </w:r>
          </w:p>
          <w:p w:rsidR="006D3468" w:rsidRDefault="006D3468" w:rsidP="006D34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предусматривать при заключении договоров поставку компьютерного</w:t>
            </w:r>
            <w:r>
              <w:br/>
              <w:t xml:space="preserve">оборудования только с лицензионным программным обеспечением.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132"/>
              <w:gridCol w:w="3967"/>
              <w:gridCol w:w="2256"/>
            </w:tblGrid>
            <w:tr w:rsidR="006D3468" w:rsidTr="00A05652">
              <w:trPr>
                <w:tblCellSpacing w:w="0" w:type="dxa"/>
              </w:trPr>
              <w:tc>
                <w:tcPr>
                  <w:tcW w:w="3285" w:type="dxa"/>
                  <w:vAlign w:val="center"/>
                </w:tcPr>
                <w:p w:rsidR="006D3468" w:rsidRDefault="006D3468" w:rsidP="00A05652">
                  <w:pPr>
                    <w:pStyle w:val="a3"/>
                  </w:pPr>
                  <w:r>
                    <w:t>И.О. директора</w:t>
                  </w:r>
                </w:p>
              </w:tc>
              <w:tc>
                <w:tcPr>
                  <w:tcW w:w="4305" w:type="dxa"/>
                  <w:vAlign w:val="center"/>
                </w:tcPr>
                <w:p w:rsidR="006D3468" w:rsidRDefault="006D3468" w:rsidP="00A05652"/>
              </w:tc>
              <w:tc>
                <w:tcPr>
                  <w:tcW w:w="2325" w:type="dxa"/>
                  <w:vAlign w:val="center"/>
                </w:tcPr>
                <w:p w:rsidR="006D3468" w:rsidRDefault="006D3468" w:rsidP="00A05652">
                  <w:pPr>
                    <w:pStyle w:val="a3"/>
                    <w:jc w:val="right"/>
                  </w:pPr>
                  <w:proofErr w:type="spellStart"/>
                  <w:r>
                    <w:t>Сердюкова</w:t>
                  </w:r>
                  <w:proofErr w:type="spellEnd"/>
                  <w:r>
                    <w:t xml:space="preserve"> Г.В.</w:t>
                  </w:r>
                </w:p>
              </w:tc>
            </w:tr>
          </w:tbl>
          <w:p w:rsidR="006D3468" w:rsidRDefault="006D3468" w:rsidP="00A05652"/>
        </w:tc>
      </w:tr>
    </w:tbl>
    <w:p w:rsidR="0024361B" w:rsidRDefault="0024361B"/>
    <w:sectPr w:rsidR="00243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63270"/>
    <w:multiLevelType w:val="multilevel"/>
    <w:tmpl w:val="666E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3468"/>
    <w:rsid w:val="0024361B"/>
    <w:rsid w:val="006D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qFormat/>
    <w:rsid w:val="006D34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D34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rsid w:val="006D3468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6D34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>Grizli777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2012-10-18T15:45:00Z</dcterms:created>
  <dcterms:modified xsi:type="dcterms:W3CDTF">2012-10-18T15:45:00Z</dcterms:modified>
</cp:coreProperties>
</file>